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10EC901"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Ref399006623"/>
      <w:bookmarkStart w:id="1" w:name="_Toc92513360"/>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C329FB">
        <w:rPr>
          <w:rFonts w:ascii="Arial" w:hAnsi="Arial" w:cs="Arial"/>
          <w:b/>
          <w:sz w:val="24"/>
          <w:szCs w:val="24"/>
          <w:lang w:val="en-US"/>
        </w:rPr>
        <w:t>4</w:t>
      </w:r>
      <w:r w:rsidR="00C66773">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4006AD" w:rsidRPr="004006AD">
        <w:rPr>
          <w:rFonts w:ascii="Arial" w:hAnsi="Arial" w:cs="Arial"/>
          <w:b/>
          <w:sz w:val="24"/>
          <w:szCs w:val="24"/>
          <w:lang w:val="en-US"/>
        </w:rPr>
        <w:t>R4-2504298</w:t>
      </w:r>
      <w:r w:rsidR="00E02289" w:rsidRPr="00E02289">
        <w:rPr>
          <w:rFonts w:ascii="Arial" w:hAnsi="Arial" w:cs="Arial"/>
          <w:b/>
          <w:sz w:val="24"/>
          <w:szCs w:val="24"/>
          <w:lang w:val="en-US"/>
        </w:rPr>
        <w:t xml:space="preserve"> </w:t>
      </w:r>
    </w:p>
    <w:p w14:paraId="525953A8" w14:textId="3CD3281F" w:rsidR="00054954" w:rsidRPr="00F44C66" w:rsidRDefault="00C66773"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w:t>
      </w:r>
      <w:r w:rsidR="00624FAB">
        <w:rPr>
          <w:rFonts w:ascii="Arial" w:hAnsi="Arial" w:cs="Arial"/>
          <w:b/>
          <w:sz w:val="24"/>
          <w:szCs w:val="24"/>
          <w:lang w:val="en-US"/>
        </w:rPr>
        <w:t xml:space="preserve">, </w:t>
      </w:r>
      <w:r>
        <w:rPr>
          <w:rFonts w:ascii="Arial" w:hAnsi="Arial" w:cs="Arial"/>
          <w:b/>
          <w:sz w:val="24"/>
          <w:szCs w:val="24"/>
          <w:lang w:val="en-US"/>
        </w:rPr>
        <w:t>China</w:t>
      </w:r>
      <w:r w:rsidR="00C329FB">
        <w:rPr>
          <w:rFonts w:ascii="Arial" w:hAnsi="Arial" w:cs="Arial"/>
          <w:b/>
          <w:sz w:val="24"/>
          <w:szCs w:val="24"/>
          <w:lang w:val="en-US"/>
        </w:rPr>
        <w:t>,</w:t>
      </w:r>
      <w:r w:rsidR="00054954" w:rsidRPr="00054954">
        <w:rPr>
          <w:rFonts w:ascii="Arial" w:hAnsi="Arial" w:cs="Arial"/>
          <w:b/>
          <w:sz w:val="24"/>
          <w:szCs w:val="24"/>
          <w:lang w:val="en-US"/>
        </w:rPr>
        <w:t xml:space="preserve"> </w:t>
      </w:r>
      <w:r>
        <w:rPr>
          <w:rFonts w:ascii="Arial" w:hAnsi="Arial" w:cs="Arial"/>
          <w:b/>
          <w:sz w:val="24"/>
          <w:szCs w:val="24"/>
          <w:lang w:val="en-US"/>
        </w:rPr>
        <w:t>7</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w:t>
      </w:r>
      <w:r w:rsidR="00C329FB">
        <w:rPr>
          <w:rFonts w:ascii="Arial" w:hAnsi="Arial" w:cs="Arial"/>
          <w:b/>
          <w:sz w:val="24"/>
          <w:szCs w:val="24"/>
        </w:rPr>
        <w:t xml:space="preserve">1 </w:t>
      </w:r>
      <w:r>
        <w:rPr>
          <w:rFonts w:ascii="Arial" w:hAnsi="Arial" w:cs="Arial"/>
          <w:b/>
          <w:sz w:val="24"/>
          <w:szCs w:val="24"/>
        </w:rPr>
        <w:t>April</w:t>
      </w:r>
      <w:r w:rsidR="00F44C66" w:rsidRPr="00E13633">
        <w:rPr>
          <w:rFonts w:ascii="Arial" w:hAnsi="Arial" w:cs="Arial"/>
          <w:b/>
          <w:sz w:val="24"/>
          <w:szCs w:val="24"/>
        </w:rPr>
        <w:t>, 202</w:t>
      </w:r>
      <w:r>
        <w:rPr>
          <w:rFonts w:ascii="Arial" w:hAnsi="Arial" w:cs="Arial"/>
          <w:b/>
          <w:sz w:val="24"/>
          <w:szCs w:val="24"/>
        </w:rPr>
        <w:t>5</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36128A0B"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32250" w:rsidRPr="00132250">
        <w:rPr>
          <w:rFonts w:ascii="Arial" w:hAnsi="Arial" w:cs="Arial"/>
          <w:sz w:val="22"/>
        </w:rPr>
        <w:t>Transmitter co-existence spurious emission requirements</w:t>
      </w:r>
    </w:p>
    <w:p w14:paraId="71022389" w14:textId="54B72705"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AD7A36">
        <w:rPr>
          <w:rFonts w:ascii="Arial" w:eastAsia="Symbol" w:hAnsi="Arial" w:cs="Arial"/>
          <w:sz w:val="22"/>
        </w:rPr>
        <w:t>7.13.4</w:t>
      </w:r>
      <w:bookmarkStart w:id="2" w:name="_GoBack"/>
      <w:bookmarkEnd w:id="2"/>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931C5B2" w14:textId="038B6206" w:rsidR="00132250" w:rsidRDefault="00C366D0" w:rsidP="00132250">
      <w:pPr>
        <w:rPr>
          <w:rFonts w:eastAsiaTheme="minorEastAsia"/>
          <w:color w:val="000000" w:themeColor="text1"/>
        </w:rPr>
      </w:pPr>
      <w:r>
        <w:rPr>
          <w:rFonts w:eastAsiaTheme="minorEastAsia"/>
          <w:color w:val="000000" w:themeColor="text1"/>
        </w:rPr>
        <w:t>An LS from TFES has asked RAN4 pointing out the same co-location in same geographical area isolation requirements are used for all FR1 frequencies including when frequencies may differ by as much as a decade. When the requirements were derived  the available bands were much closer in frequency hence it is plausible that improvements could be made to account for the higher bands.</w:t>
      </w:r>
    </w:p>
    <w:p w14:paraId="4CC7E476" w14:textId="40DC64C7" w:rsidR="00C66773" w:rsidRPr="00017939" w:rsidRDefault="00C366D0" w:rsidP="00C66773">
      <w:pPr>
        <w:rPr>
          <w:color w:val="000000" w:themeColor="text1"/>
          <w:lang w:val="sv-SE"/>
        </w:rPr>
      </w:pPr>
      <w:r>
        <w:rPr>
          <w:color w:val="000000" w:themeColor="text1"/>
          <w:lang w:val="sv-SE"/>
        </w:rPr>
        <w:t>In this paper we discuss the background of the co-existence in same geographical area requirements and potential updates that cold be made.</w:t>
      </w:r>
    </w:p>
    <w:p w14:paraId="681056EA" w14:textId="4FAF7F70"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69D1EFDE" w14:textId="775897FF" w:rsidR="00FC7420" w:rsidRDefault="008363BE" w:rsidP="008363BE">
      <w:pPr>
        <w:pStyle w:val="2"/>
      </w:pPr>
      <w:r>
        <w:t>2.1</w:t>
      </w:r>
      <w:r w:rsidRPr="004D3578">
        <w:tab/>
      </w:r>
      <w:r w:rsidR="00C366D0">
        <w:t>Background</w:t>
      </w:r>
    </w:p>
    <w:p w14:paraId="1CCBF6CB" w14:textId="56E6BE62" w:rsidR="00C366D0" w:rsidRDefault="00C366D0" w:rsidP="00C366D0">
      <w:r>
        <w:t>The original co-location in same geographical area requirements were made a long time ago and perhaps not documented perfectly at the time so there is some interpretation in understanding their derivation.</w:t>
      </w:r>
    </w:p>
    <w:p w14:paraId="6D2294AF" w14:textId="388102E1" w:rsidR="00C366D0" w:rsidRDefault="00C366D0" w:rsidP="00C366D0">
      <w:r>
        <w:t>Particularly the DL band requirement is not well documented.</w:t>
      </w:r>
    </w:p>
    <w:p w14:paraId="66058763" w14:textId="1F56EE18" w:rsidR="00CB471E" w:rsidRDefault="00CB471E" w:rsidP="00CB471E">
      <w:pPr>
        <w:pStyle w:val="3"/>
      </w:pPr>
      <w:r>
        <w:t>2.1.</w:t>
      </w:r>
      <w:r w:rsidR="00C366D0">
        <w:t>1</w:t>
      </w:r>
      <w:r w:rsidRPr="004D3578">
        <w:tab/>
      </w:r>
      <w:r w:rsidR="00C366D0">
        <w:t>UL (BS RX band)</w:t>
      </w:r>
    </w:p>
    <w:p w14:paraId="6157F78E" w14:textId="6DFD934E" w:rsidR="00C366D0" w:rsidRDefault="00C366D0" w:rsidP="00C366D0">
      <w:r>
        <w:t xml:space="preserve">In this case the BS is the victim. As BS are generally stationary and for the original non-AAS </w:t>
      </w:r>
      <w:r w:rsidR="00C04442">
        <w:t>systems</w:t>
      </w:r>
      <w:r>
        <w:t xml:space="preserve"> the antennas were passive with a fixed radiation pattern any </w:t>
      </w:r>
      <w:r w:rsidR="00C04442">
        <w:t>interference</w:t>
      </w:r>
      <w:r>
        <w:t xml:space="preserve"> would be constant. As such the acceptable level of desensitisation </w:t>
      </w:r>
      <w:r w:rsidR="00C04442">
        <w:t>is much lower than when a UE is the victim (as a UE can move). The chosen level of allowable desensitisation was 08dB which equates to an interferer 7dB lower than the receiver noise floor. BS sensitivity is based on the assumption of a 5dB noise floor.</w:t>
      </w:r>
    </w:p>
    <w:p w14:paraId="3408FE97" w14:textId="0945BBFA" w:rsidR="00C04442" w:rsidRDefault="00C04442" w:rsidP="00C366D0">
      <w:r>
        <w:t>As the link for a non-AAS BS to BS link is fixed an MCL approach was taken using the following assumptions</w:t>
      </w:r>
    </w:p>
    <w:p w14:paraId="3536AC6C" w14:textId="5349110E" w:rsidR="00C04442" w:rsidRDefault="00C04442" w:rsidP="00C04442">
      <w:pPr>
        <w:jc w:val="center"/>
      </w:pPr>
      <w:r w:rsidRPr="00C04442">
        <w:rPr>
          <w:noProof/>
        </w:rPr>
        <w:drawing>
          <wp:inline distT="0" distB="0" distL="0" distR="0" wp14:anchorId="2C434B16" wp14:editId="3A5FD39B">
            <wp:extent cx="2649679" cy="2087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3521" cy="2090907"/>
                    </a:xfrm>
                    <a:prstGeom prst="rect">
                      <a:avLst/>
                    </a:prstGeom>
                    <a:noFill/>
                    <a:ln>
                      <a:noFill/>
                    </a:ln>
                  </pic:spPr>
                </pic:pic>
              </a:graphicData>
            </a:graphic>
          </wp:inline>
        </w:drawing>
      </w:r>
    </w:p>
    <w:p w14:paraId="35201882" w14:textId="00B81A05" w:rsidR="00C04442" w:rsidRDefault="000544D9" w:rsidP="000544D9">
      <w:r>
        <w:t>This is documented in TR 25.942</w:t>
      </w:r>
    </w:p>
    <w:p w14:paraId="0E0BDBF5" w14:textId="654686C3" w:rsidR="000544D9" w:rsidRDefault="000544D9" w:rsidP="00C366D0">
      <w:pPr>
        <w:rPr>
          <w:iCs/>
        </w:rPr>
      </w:pPr>
      <w:r>
        <w:lastRenderedPageBreak/>
        <w:t xml:space="preserve">The distance between operator 1 and operator 2 BS in this scenario is </w:t>
      </w:r>
      <m:oMath>
        <m:f>
          <m:fPr>
            <m:type m:val="skw"/>
            <m:ctrlPr>
              <w:rPr>
                <w:rFonts w:ascii="Cambria Math" w:hAnsi="Cambria Math"/>
                <w:i/>
                <w:iCs/>
              </w:rPr>
            </m:ctrlPr>
          </m:fPr>
          <m:num>
            <m:r>
              <w:rPr>
                <w:rFonts w:ascii="Cambria Math" w:hAnsi="Cambria Math"/>
              </w:rPr>
              <m:t>500</m:t>
            </m:r>
          </m:num>
          <m:den>
            <m:rad>
              <m:radPr>
                <m:degHide m:val="1"/>
                <m:ctrlPr>
                  <w:rPr>
                    <w:rFonts w:ascii="Cambria Math" w:hAnsi="Cambria Math"/>
                    <w:i/>
                    <w:iCs/>
                  </w:rPr>
                </m:ctrlPr>
              </m:radPr>
              <m:deg/>
              <m:e>
                <m:r>
                  <w:rPr>
                    <w:rFonts w:ascii="Cambria Math" w:hAnsi="Cambria Math"/>
                  </w:rPr>
                  <m:t>3</m:t>
                </m:r>
              </m:e>
            </m:rad>
          </m:den>
        </m:f>
        <m:r>
          <w:rPr>
            <w:rFonts w:ascii="Cambria Math" w:hAnsi="Cambria Math"/>
          </w:rPr>
          <m:t>=288m</m:t>
        </m:r>
      </m:oMath>
    </w:p>
    <w:p w14:paraId="4504B940" w14:textId="5A744272" w:rsidR="000544D9" w:rsidRDefault="000544D9" w:rsidP="00C366D0">
      <w:pPr>
        <w:rPr>
          <w:iCs/>
        </w:rPr>
      </w:pPr>
      <w:r>
        <w:rPr>
          <w:iCs/>
        </w:rPr>
        <w:t>The non-AAS antenna patterns assumed were perhaps the most out of date aspect of the assumptions, the estimated gain of the antenna was 13dB and it was assumed 3dB gain was loss due to the antenna tilt. The MCL was hence:</w:t>
      </w:r>
    </w:p>
    <w:p w14:paraId="3925FFBB" w14:textId="4BBDFB5E" w:rsidR="000544D9" w:rsidRDefault="000544D9" w:rsidP="00C366D0">
      <w:pPr>
        <w:rPr>
          <w:iCs/>
        </w:rPr>
      </w:pPr>
      <m:oMathPara>
        <m:oMath>
          <m:r>
            <w:rPr>
              <w:rFonts w:ascii="Cambria Math" w:hAnsi="Cambria Math"/>
            </w:rPr>
            <m:t>MCL=-</m:t>
          </m:r>
          <m:sSub>
            <m:sSubPr>
              <m:ctrlPr>
                <w:rPr>
                  <w:rFonts w:ascii="Cambria Math" w:hAnsi="Cambria Math"/>
                  <w:i/>
                  <w:iCs/>
                </w:rPr>
              </m:ctrlPr>
            </m:sSubPr>
            <m:e>
              <m:r>
                <w:rPr>
                  <w:rFonts w:ascii="Cambria Math" w:hAnsi="Cambria Math"/>
                </w:rPr>
                <m:t>G</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FSPL</m:t>
              </m:r>
            </m:e>
            <m:sub>
              <m:r>
                <w:rPr>
                  <w:rFonts w:ascii="Cambria Math" w:hAnsi="Cambria Math"/>
                </w:rPr>
                <m:t>2GHz</m:t>
              </m:r>
            </m:sub>
          </m:sSub>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Rx</m:t>
              </m:r>
            </m:sub>
          </m:sSub>
          <m:r>
            <w:rPr>
              <w:rFonts w:ascii="Cambria Math" w:hAnsi="Cambria Math"/>
            </w:rPr>
            <m:t>=-10+87-10=67dB</m:t>
          </m:r>
        </m:oMath>
      </m:oMathPara>
    </w:p>
    <w:p w14:paraId="3E95724E" w14:textId="217618E5" w:rsidR="000544D9" w:rsidRDefault="000544D9" w:rsidP="00C366D0">
      <w:pPr>
        <w:rPr>
          <w:iCs/>
        </w:rPr>
      </w:pPr>
      <w:r>
        <w:rPr>
          <w:iCs/>
        </w:rPr>
        <w:t>Hence the acceptable level of unwanted emissions in the band from the BS is:</w:t>
      </w:r>
    </w:p>
    <w:p w14:paraId="6C600990" w14:textId="2543923B" w:rsidR="00C04442" w:rsidRDefault="00474C13" w:rsidP="000544D9">
      <w:pPr>
        <w:ind w:left="1988" w:firstLine="284"/>
      </w:pPr>
      <m:oMath>
        <m:sSub>
          <m:sSubPr>
            <m:ctrlPr>
              <w:rPr>
                <w:rFonts w:ascii="Cambria Math" w:hAnsi="Cambria Math"/>
                <w:i/>
                <w:iCs/>
              </w:rPr>
            </m:ctrlPr>
          </m:sSubPr>
          <m:e>
            <m:r>
              <w:rPr>
                <w:rFonts w:ascii="Cambria Math" w:hAnsi="Cambria Math"/>
              </w:rPr>
              <m:t>P</m:t>
            </m:r>
          </m:e>
          <m:sub>
            <m:r>
              <w:rPr>
                <w:rFonts w:ascii="Cambria Math" w:hAnsi="Cambria Math"/>
              </w:rPr>
              <m:t>co-existence_UL</m:t>
            </m:r>
          </m:sub>
        </m:sSub>
        <m:r>
          <w:rPr>
            <w:rFonts w:ascii="Cambria Math" w:hAnsi="Cambria Math"/>
          </w:rPr>
          <m:t>=-174+60+5+67-7</m:t>
        </m:r>
      </m:oMath>
      <w:r w:rsidR="00C04442" w:rsidRPr="00C04442">
        <w:t>=-</w:t>
      </w:r>
      <w:r w:rsidR="000544D9">
        <w:t>49</w:t>
      </w:r>
      <w:r w:rsidR="00C04442" w:rsidRPr="00C04442">
        <w:t>dBm/MHz</w:t>
      </w:r>
    </w:p>
    <w:p w14:paraId="79EEB27F" w14:textId="77777777" w:rsidR="000544D9" w:rsidRDefault="000544D9" w:rsidP="000544D9">
      <w:pPr>
        <w:ind w:left="284" w:firstLine="284"/>
      </w:pPr>
    </w:p>
    <w:p w14:paraId="5696F471" w14:textId="5AC1DF5A" w:rsidR="00C366D0" w:rsidRDefault="00C366D0" w:rsidP="00C366D0">
      <w:pPr>
        <w:pStyle w:val="3"/>
      </w:pPr>
      <w:r>
        <w:t>2.1.2</w:t>
      </w:r>
      <w:r w:rsidRPr="004D3578">
        <w:tab/>
      </w:r>
      <w:r>
        <w:t>DL (BS TX band- UE RX band)</w:t>
      </w:r>
    </w:p>
    <w:p w14:paraId="34A91BA9" w14:textId="03992933" w:rsidR="00C366D0" w:rsidRPr="00C366D0" w:rsidRDefault="000544D9" w:rsidP="00C366D0">
      <w:r>
        <w:t xml:space="preserve">It harder to find definitive background on the DL band calculations but the assumption is that the medium range BS is the worst case and hence the </w:t>
      </w:r>
      <w:r w:rsidR="003D71BC">
        <w:t>MCL for medium range of 53dB is assumed. This is derived as the FSPL for a 5m BS to UE separation at 2GHz.</w:t>
      </w:r>
    </w:p>
    <w:p w14:paraId="51491076" w14:textId="7334DC46" w:rsidR="003D71BC" w:rsidRDefault="003D71BC" w:rsidP="00C66773">
      <w:r>
        <w:t xml:space="preserve">As discussed because the interference to a UE is statistical because the UE is both not always in use but also not in a fixed location the allowable </w:t>
      </w:r>
      <w:proofErr w:type="spellStart"/>
      <w:r>
        <w:t>desens</w:t>
      </w:r>
      <w:proofErr w:type="spellEnd"/>
      <w:r>
        <w:t xml:space="preserve"> level was greater and was set to 3dB or the interferer was at the same amplitude as the receiver noise floor.</w:t>
      </w:r>
    </w:p>
    <w:p w14:paraId="2FBA7DEA" w14:textId="4DF36908" w:rsidR="00B63228" w:rsidRDefault="003D71BC" w:rsidP="00C66773">
      <w:r>
        <w:t>In this case the receiver being the UE with an assumed noise floor of 9dB</w:t>
      </w:r>
      <w:r w:rsidR="00B63228">
        <w:t>.</w:t>
      </w:r>
    </w:p>
    <w:p w14:paraId="39603028" w14:textId="77777777" w:rsidR="003D71BC" w:rsidRDefault="003D71BC" w:rsidP="003D71BC">
      <w:pPr>
        <w:rPr>
          <w:iCs/>
        </w:rPr>
      </w:pPr>
      <w:r>
        <w:rPr>
          <w:iCs/>
        </w:rPr>
        <w:t>Hence the acceptable level of unwanted emissions in the band from the BS is:</w:t>
      </w:r>
    </w:p>
    <w:p w14:paraId="3A244D17" w14:textId="580EDAA5" w:rsidR="003D71BC" w:rsidRDefault="00474C13" w:rsidP="003D71BC">
      <w:pPr>
        <w:ind w:left="1988" w:firstLine="284"/>
      </w:pPr>
      <m:oMath>
        <m:sSub>
          <m:sSubPr>
            <m:ctrlPr>
              <w:rPr>
                <w:rFonts w:ascii="Cambria Math" w:hAnsi="Cambria Math"/>
                <w:i/>
                <w:iCs/>
              </w:rPr>
            </m:ctrlPr>
          </m:sSubPr>
          <m:e>
            <m:r>
              <w:rPr>
                <w:rFonts w:ascii="Cambria Math" w:hAnsi="Cambria Math"/>
              </w:rPr>
              <m:t>P</m:t>
            </m:r>
          </m:e>
          <m:sub>
            <m:r>
              <w:rPr>
                <w:rFonts w:ascii="Cambria Math" w:hAnsi="Cambria Math"/>
              </w:rPr>
              <m:t>co-existence_DL</m:t>
            </m:r>
          </m:sub>
        </m:sSub>
        <m:r>
          <w:rPr>
            <w:rFonts w:ascii="Cambria Math" w:hAnsi="Cambria Math"/>
          </w:rPr>
          <m:t>=-174+60+9+53-0</m:t>
        </m:r>
      </m:oMath>
      <w:r w:rsidR="003D71BC" w:rsidRPr="00C04442">
        <w:t>=-</w:t>
      </w:r>
      <w:r w:rsidR="003D71BC">
        <w:t>52</w:t>
      </w:r>
      <w:r w:rsidR="003D71BC" w:rsidRPr="00C04442">
        <w:t>dBm/MHz</w:t>
      </w:r>
    </w:p>
    <w:p w14:paraId="4BD5976D" w14:textId="5E5F7BCF" w:rsidR="00447925" w:rsidRDefault="003D71BC" w:rsidP="00D547FA">
      <w:r>
        <w:t>As the DL requirement is lower in TDD bands this was adopted as the acceptable power level (as systems in same geographical area but different operating bands may not be assumed synchronised).</w:t>
      </w:r>
    </w:p>
    <w:p w14:paraId="101D9802" w14:textId="300ADA22" w:rsidR="007A6659" w:rsidRDefault="007A6659" w:rsidP="00D547FA">
      <w:r>
        <w:t>It is also worth noting that for the wide area case the MCL definition is 70dB (or 35m along the ground, 23.5m height difference). In this case we can assume some BS antenna gain</w:t>
      </w:r>
      <w:r w:rsidR="00885972">
        <w:t xml:space="preserve"> so the power level is calculated as:</w:t>
      </w:r>
    </w:p>
    <w:p w14:paraId="7A9AAD60" w14:textId="7CEFB9F7" w:rsidR="00885972" w:rsidRDefault="00885972" w:rsidP="00885972">
      <w:pPr>
        <w:rPr>
          <w:iCs/>
        </w:rPr>
      </w:pPr>
      <m:oMathPara>
        <m:oMath>
          <m:r>
            <w:rPr>
              <w:rFonts w:ascii="Cambria Math" w:hAnsi="Cambria Math"/>
            </w:rPr>
            <m:t>MCL=-</m:t>
          </m:r>
          <m:sSub>
            <m:sSubPr>
              <m:ctrlPr>
                <w:rPr>
                  <w:rFonts w:ascii="Cambria Math" w:hAnsi="Cambria Math"/>
                  <w:i/>
                  <w:iCs/>
                </w:rPr>
              </m:ctrlPr>
            </m:sSubPr>
            <m:e>
              <m:r>
                <w:rPr>
                  <w:rFonts w:ascii="Cambria Math" w:hAnsi="Cambria Math"/>
                </w:rPr>
                <m:t>G</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FSPL</m:t>
              </m:r>
            </m:e>
            <m:sub>
              <m:r>
                <w:rPr>
                  <w:rFonts w:ascii="Cambria Math" w:hAnsi="Cambria Math"/>
                </w:rPr>
                <m:t>2GHz</m:t>
              </m:r>
            </m:sub>
          </m:sSub>
          <m:r>
            <w:rPr>
              <w:rFonts w:ascii="Cambria Math" w:hAnsi="Cambria Math"/>
            </w:rPr>
            <m:t>=-10+70=60dB</m:t>
          </m:r>
        </m:oMath>
      </m:oMathPara>
    </w:p>
    <w:p w14:paraId="3CD40A06" w14:textId="1EE92DC5" w:rsidR="00885972" w:rsidRDefault="00474C13" w:rsidP="00885972">
      <w:pPr>
        <w:ind w:left="1988" w:firstLine="284"/>
      </w:pPr>
      <m:oMath>
        <m:sSub>
          <m:sSubPr>
            <m:ctrlPr>
              <w:rPr>
                <w:rFonts w:ascii="Cambria Math" w:hAnsi="Cambria Math"/>
                <w:i/>
                <w:iCs/>
              </w:rPr>
            </m:ctrlPr>
          </m:sSubPr>
          <m:e>
            <m:r>
              <w:rPr>
                <w:rFonts w:ascii="Cambria Math" w:hAnsi="Cambria Math"/>
              </w:rPr>
              <m:t>P</m:t>
            </m:r>
          </m:e>
          <m:sub>
            <m:r>
              <w:rPr>
                <w:rFonts w:ascii="Cambria Math" w:hAnsi="Cambria Math"/>
              </w:rPr>
              <m:t>co-existence_DL_WA</m:t>
            </m:r>
          </m:sub>
        </m:sSub>
        <m:r>
          <w:rPr>
            <w:rFonts w:ascii="Cambria Math" w:hAnsi="Cambria Math"/>
          </w:rPr>
          <m:t>=-174+60+9+60-0</m:t>
        </m:r>
      </m:oMath>
      <w:r w:rsidR="00885972" w:rsidRPr="00C04442">
        <w:t>=-</w:t>
      </w:r>
      <w:r w:rsidR="00885972">
        <w:t>45</w:t>
      </w:r>
      <w:r w:rsidR="00885972" w:rsidRPr="00C04442">
        <w:t>dBm/MHz</w:t>
      </w:r>
    </w:p>
    <w:p w14:paraId="266DD727" w14:textId="3EBED0AB" w:rsidR="00885972" w:rsidRDefault="00885972" w:rsidP="00D547FA">
      <w:r>
        <w:t>This is easier than medium range case but is worth considering if antenna gains etc are reconsidered.</w:t>
      </w:r>
    </w:p>
    <w:p w14:paraId="566FFB4B" w14:textId="63D805CC" w:rsidR="003D71BC" w:rsidRDefault="003D71BC" w:rsidP="003D71BC">
      <w:pPr>
        <w:pStyle w:val="3"/>
      </w:pPr>
      <w:r>
        <w:t>2.1.3</w:t>
      </w:r>
      <w:r w:rsidRPr="004D3578">
        <w:tab/>
      </w:r>
      <w:r>
        <w:t>AAS</w:t>
      </w:r>
    </w:p>
    <w:p w14:paraId="6BDF3A9F" w14:textId="320D6939" w:rsidR="003D71BC" w:rsidRDefault="003D71BC" w:rsidP="00D547FA">
      <w:r>
        <w:t xml:space="preserve">During the AAS work the task was to ensure requirements </w:t>
      </w:r>
      <w:r w:rsidR="00167F6A">
        <w:t>offered</w:t>
      </w:r>
      <w:r>
        <w:t xml:space="preserve"> the same performance and protection as the non-AAS requirements. As such the </w:t>
      </w:r>
      <w:r w:rsidR="00167F6A">
        <w:t>scenarios assumed for the layout were the same as for non-AAS.</w:t>
      </w:r>
    </w:p>
    <w:p w14:paraId="478A82A7" w14:textId="72F3F742" w:rsidR="00167F6A" w:rsidRDefault="00167F6A" w:rsidP="00D547FA">
      <w:r>
        <w:t>The major difference between AAS and non-AA</w:t>
      </w:r>
      <w:r w:rsidR="00687DEB">
        <w:t>S</w:t>
      </w:r>
      <w:r>
        <w:t xml:space="preserve"> is that the AAS beam pattern is not static, its peak gain is expected to be higher than that for a non-AAS antenna but as the target UE’s are in random directions the AAS beam direction is also. The ACIR co-existence simulation work showed quite conclusively that if average interference is considered then interference is related not to the peak EIRP of the AAS but the average beam pattern, and with randomly located UE’s this turned out to be the element/sub-array pattern of the BS.</w:t>
      </w:r>
    </w:p>
    <w:p w14:paraId="146197B0" w14:textId="5B9C2B28" w:rsidR="00687DEB" w:rsidRDefault="00687DEB" w:rsidP="00D547FA">
      <w:r>
        <w:t>For out of ba</w:t>
      </w:r>
      <w:r w:rsidR="00C45D4B">
        <w:t>n</w:t>
      </w:r>
      <w:r>
        <w:t>d requirements like this it is also very unlikely that the signals to each of the elements/sub-arrays are correlated as these are spurious signals, as such a decorrelated beampattern is almost guaranteed.</w:t>
      </w:r>
    </w:p>
    <w:p w14:paraId="422064BF" w14:textId="62C4CDAE" w:rsidR="00167F6A" w:rsidRDefault="00167F6A" w:rsidP="00D547FA">
      <w:r>
        <w:t>As the element/sub-array gain of the AAS antenna is lower than that of the non-AAS antenna assumptions in the co-existence in same geographical area scenarios the interference from an AAS is likely less than that of a non-AAS system. However as early AAS designs we</w:t>
      </w:r>
      <w:r w:rsidR="00890356">
        <w:t xml:space="preserve"> were </w:t>
      </w:r>
      <w:r>
        <w:t>careful to incorporate relatively simple AAS architectures with limited or no beam forming the non-AAS case was still valid. As such the non-AAS requirement levels were adopted.</w:t>
      </w:r>
    </w:p>
    <w:p w14:paraId="557C5E7F" w14:textId="5911C4BF" w:rsidR="00167F6A" w:rsidRDefault="00167F6A" w:rsidP="00D547FA">
      <w:r>
        <w:t>As non-AAS levels are applied per TRX, the same approach was applied to the 1-H AAS with a cap of 8 max TRX.</w:t>
      </w:r>
    </w:p>
    <w:p w14:paraId="0AE36694" w14:textId="1790EC6D" w:rsidR="00167F6A" w:rsidRDefault="00167F6A" w:rsidP="00D547FA">
      <w:r>
        <w:t>For 1-O AAS, once again the argument that average power was the relevant requirement meant the conducted levels were translated to TRP (with the relevant scaling applied to account f</w:t>
      </w:r>
      <w:r w:rsidR="003B62ED">
        <w:t>o</w:t>
      </w:r>
      <w:r>
        <w:t>r multiple TRX – maximum of 8)</w:t>
      </w:r>
      <w:r w:rsidR="003B62ED">
        <w:t>.</w:t>
      </w:r>
    </w:p>
    <w:p w14:paraId="2B0AB7CE" w14:textId="09273768" w:rsidR="001832A0" w:rsidRDefault="001832A0" w:rsidP="001832A0">
      <w:pPr>
        <w:pStyle w:val="3"/>
      </w:pPr>
      <w:r>
        <w:lastRenderedPageBreak/>
        <w:t>2.1.</w:t>
      </w:r>
      <w:r w:rsidR="00527875">
        <w:t>4</w:t>
      </w:r>
      <w:r w:rsidRPr="004D3578">
        <w:tab/>
      </w:r>
      <w:r>
        <w:t>Frequency increase and frequency mismatch</w:t>
      </w:r>
    </w:p>
    <w:p w14:paraId="00960D82" w14:textId="22C496AF" w:rsidR="003B62ED" w:rsidRDefault="001832A0" w:rsidP="00D547FA">
      <w:r>
        <w:t>Whilst this is not documented our understanding of the approach to adding new bands is that adopting the same levels, is both simple and represents a worst case.</w:t>
      </w:r>
    </w:p>
    <w:p w14:paraId="09253396" w14:textId="77777777" w:rsidR="001832A0" w:rsidRDefault="001832A0" w:rsidP="00D547FA">
      <w:r>
        <w:t>Increase in frequency if course increases the pathloss between the BS. This can lead to 2 cases:</w:t>
      </w:r>
    </w:p>
    <w:p w14:paraId="0F65BCE0" w14:textId="6D30D8AC" w:rsidR="001832A0" w:rsidRDefault="001832A0" w:rsidP="001832A0">
      <w:pPr>
        <w:ind w:left="284"/>
      </w:pPr>
      <w:r>
        <w:t xml:space="preserve">It is assumed that the scenarios and the ISD remain constant, this is the most likely target as in practice it is a goal to maintain the same BS locations even when frequency increases. This is achieved by increasing antenna gain to make up for the higher path loss. As antenna gain at the low FR1 bands tend to be limited by physical size, if we take a simplistic approach and assume the antennas remain the same size then as frequency increases the antenna gain (for a fixed appature) increases by 10log. The path loss increases by 20log. As there are 2 antennas involved in the MCL calculation this cancels out. </w:t>
      </w:r>
    </w:p>
    <w:p w14:paraId="144CF0F2" w14:textId="08C23658" w:rsidR="00167F6A" w:rsidRDefault="001832A0" w:rsidP="001832A0">
      <w:pPr>
        <w:ind w:left="284"/>
      </w:pPr>
      <w:r>
        <w:t>Alternatively if the increased PL means that the ISD has to be reduced then the MCL will remain constant (in order to maintain the link budget).</w:t>
      </w:r>
    </w:p>
    <w:p w14:paraId="7151F949" w14:textId="3D6C7292" w:rsidR="001832A0" w:rsidRDefault="001832A0" w:rsidP="00D547FA">
      <w:r>
        <w:t>Both these arguments are somewhat simplistic and perhaps worst case, but they have been sufficient.</w:t>
      </w:r>
    </w:p>
    <w:p w14:paraId="7A1F2005" w14:textId="34AE5098" w:rsidR="00687DEB" w:rsidRDefault="001832A0" w:rsidP="00D547FA">
      <w:r>
        <w:t xml:space="preserve">Frequency mismatch is another issue which clearly exists and has been discussed but is very difficult to quantify. </w:t>
      </w:r>
      <w:r w:rsidR="00687DEB">
        <w:t>As antenna are tuned devices it would be expected that outside their operating band then their gain would be significantly lower than for their design frequency. This will occur at both array and element level but as this is an out of band requirement and the signals are spurious its almost guaranteed the signals will be uncorrelated and hence we are considering the element pattern.</w:t>
      </w:r>
    </w:p>
    <w:p w14:paraId="04742901" w14:textId="298EA200" w:rsidR="001832A0" w:rsidRDefault="00687DEB" w:rsidP="00D547FA">
      <w:r>
        <w:t xml:space="preserve">However it is very difficult to predict exactly how the gain will decrease as it will be design dependent. Its same to estimate the gain will not be greater than that for the design frequency but in many </w:t>
      </w:r>
      <w:proofErr w:type="gramStart"/>
      <w:r>
        <w:t>cases</w:t>
      </w:r>
      <w:proofErr w:type="gramEnd"/>
      <w:r>
        <w:t xml:space="preserve"> its found the gain does not drop away very quickly with frequency. Finding a robust method to calculate loss of element gain due to frequency mismatch is very difficult and possibly will not significantly alter the requirement level and as such the </w:t>
      </w:r>
      <w:proofErr w:type="gramStart"/>
      <w:r>
        <w:t>worst case</w:t>
      </w:r>
      <w:proofErr w:type="gramEnd"/>
      <w:r>
        <w:t xml:space="preserve"> assumption has been seem as acceptable.</w:t>
      </w:r>
    </w:p>
    <w:p w14:paraId="7059263E" w14:textId="25406763" w:rsidR="00687DEB" w:rsidRDefault="00687DEB" w:rsidP="00D547FA">
      <w:r>
        <w:t>Note as co-location emissions are generally required in the same bands as the co-existence in same geographical area emission requirements and co-location are significantly harder the necessity of relaxing the co-existence requirements may not be so motivated.</w:t>
      </w:r>
    </w:p>
    <w:p w14:paraId="32CAFFAE" w14:textId="72B477A4" w:rsidR="00395020" w:rsidRDefault="00395020" w:rsidP="00D547FA">
      <w:r w:rsidRPr="00527875">
        <w:rPr>
          <w:b/>
        </w:rPr>
        <w:t>Observation 1:</w:t>
      </w:r>
      <w:r>
        <w:rPr>
          <w:b/>
        </w:rPr>
        <w:t xml:space="preserve"> </w:t>
      </w:r>
      <w:r>
        <w:t>co-location emissions are generally required in the same bands as the co-existence in same geographical area emission requirements and co-location are significantly harder the necessity of relaxing the co-existence requirements may not be so motivated.</w:t>
      </w:r>
    </w:p>
    <w:p w14:paraId="5957987A" w14:textId="2FDE6FC8" w:rsidR="00532D5E" w:rsidRDefault="00532D5E" w:rsidP="00532D5E">
      <w:pPr>
        <w:pStyle w:val="2"/>
      </w:pPr>
      <w:r>
        <w:t>2.1</w:t>
      </w:r>
      <w:r w:rsidRPr="004D3578">
        <w:tab/>
      </w:r>
      <w:r>
        <w:t>Way forward</w:t>
      </w:r>
    </w:p>
    <w:p w14:paraId="42FF5B1F" w14:textId="79C91AAA" w:rsidR="00532D5E" w:rsidRDefault="007A6659" w:rsidP="00D547FA">
      <w:r>
        <w:t>During preliminary discussions due to the long time and limited available background on the derivation of the existing requirements some of the assumptions have been questioned.</w:t>
      </w:r>
    </w:p>
    <w:p w14:paraId="14C99849" w14:textId="55615960" w:rsidR="007A6659" w:rsidRDefault="007A6659" w:rsidP="00D547FA">
      <w:r>
        <w:tab/>
        <w:t xml:space="preserve">Is the uncoordinated network assumption worst </w:t>
      </w:r>
      <w:proofErr w:type="gramStart"/>
      <w:r>
        <w:t>case</w:t>
      </w:r>
      <w:proofErr w:type="gramEnd"/>
    </w:p>
    <w:p w14:paraId="39B71EAA" w14:textId="2938204C" w:rsidR="007A6659" w:rsidRDefault="007A6659" w:rsidP="00D547FA">
      <w:r>
        <w:tab/>
        <w:t xml:space="preserve">Should ISD </w:t>
      </w:r>
      <w:r w:rsidR="0021374A">
        <w:t xml:space="preserve">and/or grid shift </w:t>
      </w:r>
      <w:r>
        <w:t>be smaller (larger?)</w:t>
      </w:r>
    </w:p>
    <w:p w14:paraId="0115B8F5" w14:textId="2B167DFA" w:rsidR="00885972" w:rsidRDefault="00885972" w:rsidP="00885972">
      <w:pPr>
        <w:ind w:left="284"/>
      </w:pPr>
      <w:r>
        <w:t>etc</w:t>
      </w:r>
    </w:p>
    <w:p w14:paraId="53C205B2" w14:textId="59ECE385" w:rsidR="007A6659" w:rsidRDefault="007A6659" w:rsidP="00D547FA">
      <w:r>
        <w:t xml:space="preserve">It is of course possible to re-examine those assumptions and come </w:t>
      </w:r>
      <w:r w:rsidR="0021374A">
        <w:t>u</w:t>
      </w:r>
      <w:r>
        <w:t>p with different assumptions however this raises the question of what is co-existence in the same geographical area? In many ways the scenario we have defined as co-existence in same geographical area is that because we have agreed it to be so. A different set of assumptions would be co-existence in same geographical area 2, or some other alternative name.</w:t>
      </w:r>
    </w:p>
    <w:p w14:paraId="75EAA030" w14:textId="1CF8157F" w:rsidR="00527875" w:rsidRDefault="00527875" w:rsidP="00D547FA">
      <w:r w:rsidRPr="00527875">
        <w:rPr>
          <w:b/>
        </w:rPr>
        <w:t xml:space="preserve">Observation </w:t>
      </w:r>
      <w:r w:rsidR="00395020">
        <w:rPr>
          <w:b/>
        </w:rPr>
        <w:t>2</w:t>
      </w:r>
      <w:r w:rsidRPr="00527875">
        <w:rPr>
          <w:b/>
        </w:rPr>
        <w:t>:</w:t>
      </w:r>
      <w:r>
        <w:t xml:space="preserve"> The existing co-existence in same geographical area definitions should be maintained otherwise we are defining a new requirement.</w:t>
      </w:r>
    </w:p>
    <w:p w14:paraId="057E325F" w14:textId="2558646A" w:rsidR="007A6659" w:rsidRDefault="007A6659" w:rsidP="00D547FA">
      <w:r>
        <w:t xml:space="preserve">The question </w:t>
      </w:r>
      <w:r w:rsidR="00885972">
        <w:t>i</w:t>
      </w:r>
      <w:r>
        <w:t>n the LS raised however does not see to want to redefine co-existence scenario but to understand the effect of the newer higher FR1 bands on the requirement, as such we should unless there is a very good reason stick with the existing definitions.</w:t>
      </w:r>
    </w:p>
    <w:p w14:paraId="4B110050" w14:textId="3310E43E" w:rsidR="00885972" w:rsidRDefault="00885972" w:rsidP="00D547FA">
      <w:r>
        <w:lastRenderedPageBreak/>
        <w:t>As at the higher band we are almost exclusively considering AAS implementations, and with decorrelated emissions we only need to consider the element/sub-array patterns we can re-examine the MCL calculations using the assumptions for high FR1 band antennas.</w:t>
      </w:r>
    </w:p>
    <w:p w14:paraId="2A10FB5C" w14:textId="35140914" w:rsidR="0079026A" w:rsidRDefault="0079026A" w:rsidP="00D547FA">
      <w:r>
        <w:t xml:space="preserve">It has been suggested that system level simulations (such as </w:t>
      </w:r>
      <w:r w:rsidR="00527875">
        <w:t>t</w:t>
      </w:r>
      <w:r>
        <w:t>hose done for ACIR) might be appropriate, however in the case of ACIR the wanted signal is considered an interferer and as such the beam forming is an important part of the simulation (although ultimately it is seen that the element/sub-array pattern is perhaps most important). In this case we are looking at a spurious signal which is most likely to be uncorrelated and as such will not form any array gain. Only the element pattern therefor is important and this is fixed. As such the MCL approach we took with the original same geographical area requirement seems appropriate.</w:t>
      </w:r>
    </w:p>
    <w:p w14:paraId="06E1DBC1" w14:textId="7C6E8663" w:rsidR="0079026A" w:rsidRDefault="0079026A" w:rsidP="00D547FA">
      <w:r w:rsidRPr="0079026A">
        <w:rPr>
          <w:b/>
        </w:rPr>
        <w:t xml:space="preserve">Observation </w:t>
      </w:r>
      <w:r w:rsidR="00395020">
        <w:rPr>
          <w:b/>
        </w:rPr>
        <w:t>3</w:t>
      </w:r>
      <w:r w:rsidRPr="0079026A">
        <w:rPr>
          <w:b/>
        </w:rPr>
        <w:t>:</w:t>
      </w:r>
      <w:r>
        <w:t xml:space="preserve"> as the unwanted emissions are outside the operation band they will be uncorrelated and have no array gain</w:t>
      </w:r>
    </w:p>
    <w:p w14:paraId="55AE80F6" w14:textId="5A6745DA" w:rsidR="00527875" w:rsidRDefault="0079026A" w:rsidP="00D547FA">
      <w:r w:rsidRPr="0079026A">
        <w:rPr>
          <w:b/>
        </w:rPr>
        <w:t xml:space="preserve">Observation </w:t>
      </w:r>
      <w:r w:rsidR="00395020">
        <w:rPr>
          <w:b/>
        </w:rPr>
        <w:t>4</w:t>
      </w:r>
      <w:r w:rsidRPr="0079026A">
        <w:rPr>
          <w:b/>
        </w:rPr>
        <w:t>:</w:t>
      </w:r>
      <w:r>
        <w:t xml:space="preserve"> As the element/sub-array pattern is fixed no statistical simulation is necessary and MCL approach is more suitable.</w:t>
      </w:r>
    </w:p>
    <w:p w14:paraId="7182DCCE" w14:textId="5D79ADFF" w:rsidR="00885972" w:rsidRDefault="00885972" w:rsidP="00885972">
      <w:pPr>
        <w:pStyle w:val="3"/>
      </w:pPr>
      <w:r>
        <w:t>2.2.1</w:t>
      </w:r>
      <w:r w:rsidRPr="004D3578">
        <w:tab/>
      </w:r>
      <w:r>
        <w:t>UL (BS RX band)</w:t>
      </w:r>
    </w:p>
    <w:p w14:paraId="387166D5" w14:textId="4D6FC720" w:rsidR="00885972" w:rsidRDefault="00885972" w:rsidP="00D547FA">
      <w:r>
        <w:t xml:space="preserve">A typical BS antenna at these frequencies </w:t>
      </w:r>
      <w:r w:rsidR="00275282">
        <w:t xml:space="preserve">may use 3 element sub-arrays in elevation with 1:1 mapping in azimuth, such as ANT 4 below: </w:t>
      </w:r>
    </w:p>
    <w:p w14:paraId="696A57E3" w14:textId="24622C78" w:rsidR="00275282" w:rsidRDefault="00275282" w:rsidP="00275282">
      <w:pPr>
        <w:overflowPunct/>
        <w:autoSpaceDE/>
        <w:autoSpaceDN/>
        <w:adjustRightInd/>
        <w:spacing w:after="0"/>
        <w:jc w:val="center"/>
        <w:textAlignment w:val="auto"/>
      </w:pPr>
      <w:r w:rsidRPr="00577B8F">
        <w:rPr>
          <w:b/>
        </w:rPr>
        <w:t>Table 2</w:t>
      </w:r>
      <w:r>
        <w:rPr>
          <w:b/>
        </w:rPr>
        <w:t>.2</w:t>
      </w:r>
      <w:r w:rsidRPr="00577B8F">
        <w:rPr>
          <w:b/>
        </w:rPr>
        <w:t>.</w:t>
      </w:r>
      <w:r>
        <w:rPr>
          <w:b/>
        </w:rPr>
        <w:t>1</w:t>
      </w:r>
      <w:r w:rsidRPr="00577B8F">
        <w:rPr>
          <w:b/>
        </w:rPr>
        <w:t>-1</w:t>
      </w:r>
      <w:r>
        <w:t>: Antenna parameters</w:t>
      </w:r>
    </w:p>
    <w:p w14:paraId="2FBA9421" w14:textId="77777777" w:rsidR="00275282" w:rsidRDefault="00275282" w:rsidP="00275282">
      <w:pPr>
        <w:overflowPunct/>
        <w:autoSpaceDE/>
        <w:autoSpaceDN/>
        <w:adjustRightInd/>
        <w:spacing w:after="0"/>
        <w:textAlignment w:val="auto"/>
      </w:pPr>
      <w:r w:rsidRPr="00577B8F">
        <w:rPr>
          <w:noProof/>
        </w:rPr>
        <w:drawing>
          <wp:inline distT="0" distB="0" distL="0" distR="0" wp14:anchorId="23D188B6" wp14:editId="387675F9">
            <wp:extent cx="6122035" cy="1453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p>
    <w:p w14:paraId="36EE015F" w14:textId="62CD24E9" w:rsidR="00275282" w:rsidRDefault="00275282" w:rsidP="00D547FA">
      <w:r>
        <w:t>If we assume no frequency mismatch loss then the gain of the sub-array is 11.8dBi, estimating the tilt loss gives:</w:t>
      </w:r>
    </w:p>
    <w:p w14:paraId="4A3B66A8" w14:textId="6345F543" w:rsidR="00275282" w:rsidRDefault="00275282" w:rsidP="00D547FA">
      <w:r w:rsidRPr="00275282">
        <w:rPr>
          <w:noProof/>
        </w:rPr>
        <w:drawing>
          <wp:inline distT="0" distB="0" distL="0" distR="0" wp14:anchorId="5F57538F" wp14:editId="1521C11D">
            <wp:extent cx="6122035" cy="2010180"/>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010180"/>
                    </a:xfrm>
                    <a:prstGeom prst="rect">
                      <a:avLst/>
                    </a:prstGeom>
                    <a:noFill/>
                    <a:ln>
                      <a:noFill/>
                    </a:ln>
                  </pic:spPr>
                </pic:pic>
              </a:graphicData>
            </a:graphic>
          </wp:inline>
        </w:drawing>
      </w:r>
    </w:p>
    <w:p w14:paraId="2566D545" w14:textId="3DDD7E5E" w:rsidR="00275282" w:rsidRPr="00275282" w:rsidRDefault="00275282" w:rsidP="00275282">
      <w:r w:rsidRPr="00275282">
        <w:t>Azimuth tilt offset</w:t>
      </w:r>
    </w:p>
    <w:p w14:paraId="75108504" w14:textId="77777777" w:rsidR="00275282" w:rsidRPr="00275282" w:rsidRDefault="00275282" w:rsidP="00275282">
      <w:pPr>
        <w:ind w:left="284"/>
      </w:pPr>
      <w:r w:rsidRPr="00275282">
        <w:t>Victim BS at 30deg offset</w:t>
      </w:r>
    </w:p>
    <w:p w14:paraId="15CBD933" w14:textId="77777777" w:rsidR="00275282" w:rsidRPr="00275282" w:rsidRDefault="00275282" w:rsidP="00275282">
      <w:pPr>
        <w:ind w:left="284"/>
      </w:pPr>
      <w:r w:rsidRPr="00275282">
        <w:t>Average antenna gain based on 1:1 element pattern (90deg)</w:t>
      </w:r>
    </w:p>
    <w:p w14:paraId="48583EFC" w14:textId="0DE22268" w:rsidR="00275282" w:rsidRDefault="00275282" w:rsidP="00275282">
      <w:pPr>
        <w:ind w:left="284"/>
      </w:pPr>
      <w:r>
        <w:t>-</w:t>
      </w:r>
      <w:r w:rsidRPr="00275282">
        <w:t>2.6dB offset</w:t>
      </w:r>
    </w:p>
    <w:p w14:paraId="6C835930" w14:textId="77777777" w:rsidR="00275282" w:rsidRPr="00275282" w:rsidRDefault="00275282" w:rsidP="00275282">
      <w:r w:rsidRPr="00275282">
        <w:t>Elevation tilt offset</w:t>
      </w:r>
    </w:p>
    <w:p w14:paraId="06017C3B" w14:textId="77777777" w:rsidR="00275282" w:rsidRPr="00275282" w:rsidRDefault="00275282" w:rsidP="00275282">
      <w:pPr>
        <w:ind w:left="284"/>
      </w:pPr>
      <w:r w:rsidRPr="00275282">
        <w:t>Victim BS at +4deg offset</w:t>
      </w:r>
    </w:p>
    <w:p w14:paraId="0207853B" w14:textId="77777777" w:rsidR="00275282" w:rsidRPr="00275282" w:rsidRDefault="00275282" w:rsidP="00275282">
      <w:pPr>
        <w:ind w:left="284"/>
      </w:pPr>
      <w:r w:rsidRPr="00275282">
        <w:t>Average antenna gain based on 3 element sub-array (approx. 25deg beam width)</w:t>
      </w:r>
    </w:p>
    <w:p w14:paraId="758ED8D6" w14:textId="77777777" w:rsidR="00275282" w:rsidRPr="00275282" w:rsidRDefault="00275282" w:rsidP="00275282">
      <w:pPr>
        <w:ind w:left="284"/>
      </w:pPr>
      <w:r w:rsidRPr="00275282">
        <w:lastRenderedPageBreak/>
        <w:t>0.3dB offset</w:t>
      </w:r>
    </w:p>
    <w:p w14:paraId="374E9C84" w14:textId="04CB556A" w:rsidR="00275282" w:rsidRPr="00275282" w:rsidRDefault="00D926DF" w:rsidP="00275282">
      <w:r>
        <w:t>So the antenna gain is 11.8-2.6-0.3 = 8.9dBi</w:t>
      </w:r>
    </w:p>
    <w:p w14:paraId="2121E2BF" w14:textId="7BD1331A" w:rsidR="00885972" w:rsidRDefault="00D926DF" w:rsidP="00D547FA">
      <w:r>
        <w:t>Giving an MCL at 5GHz of</w:t>
      </w:r>
    </w:p>
    <w:p w14:paraId="2A0D8794" w14:textId="1DF99385" w:rsidR="00D926DF" w:rsidRDefault="00D926DF" w:rsidP="00D926DF">
      <w:pPr>
        <w:rPr>
          <w:iCs/>
        </w:rPr>
      </w:pPr>
      <m:oMathPara>
        <m:oMath>
          <m:r>
            <w:rPr>
              <w:rFonts w:ascii="Cambria Math" w:hAnsi="Cambria Math"/>
            </w:rPr>
            <m:t>MCL=-</m:t>
          </m:r>
          <m:sSub>
            <m:sSubPr>
              <m:ctrlPr>
                <w:rPr>
                  <w:rFonts w:ascii="Cambria Math" w:hAnsi="Cambria Math"/>
                  <w:i/>
                  <w:iCs/>
                </w:rPr>
              </m:ctrlPr>
            </m:sSubPr>
            <m:e>
              <m:r>
                <w:rPr>
                  <w:rFonts w:ascii="Cambria Math" w:hAnsi="Cambria Math"/>
                </w:rPr>
                <m:t>G</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FSPL</m:t>
              </m:r>
            </m:e>
            <m:sub>
              <m:r>
                <w:rPr>
                  <w:rFonts w:ascii="Cambria Math" w:hAnsi="Cambria Math"/>
                </w:rPr>
                <m:t>5GHz</m:t>
              </m:r>
            </m:sub>
          </m:sSub>
          <m:r>
            <w:rPr>
              <w:rFonts w:ascii="Cambria Math" w:hAnsi="Cambria Math"/>
            </w:rPr>
            <m:t>=-8.9+95.6-8.9=77.8dB</m:t>
          </m:r>
        </m:oMath>
      </m:oMathPara>
    </w:p>
    <w:p w14:paraId="64170378" w14:textId="499C4495" w:rsidR="00D926DF" w:rsidRDefault="00474C13" w:rsidP="00D926DF">
      <w:pPr>
        <w:ind w:left="1988" w:firstLine="284"/>
      </w:pPr>
      <m:oMath>
        <m:sSub>
          <m:sSubPr>
            <m:ctrlPr>
              <w:rPr>
                <w:rFonts w:ascii="Cambria Math" w:hAnsi="Cambria Math"/>
                <w:i/>
                <w:iCs/>
              </w:rPr>
            </m:ctrlPr>
          </m:sSubPr>
          <m:e>
            <m:r>
              <w:rPr>
                <w:rFonts w:ascii="Cambria Math" w:hAnsi="Cambria Math"/>
              </w:rPr>
              <m:t>P</m:t>
            </m:r>
          </m:e>
          <m:sub>
            <m:r>
              <w:rPr>
                <w:rFonts w:ascii="Cambria Math" w:hAnsi="Cambria Math"/>
              </w:rPr>
              <m:t>co-existence_UL</m:t>
            </m:r>
          </m:sub>
        </m:sSub>
        <m:r>
          <w:rPr>
            <w:rFonts w:ascii="Cambria Math" w:hAnsi="Cambria Math"/>
          </w:rPr>
          <m:t>=-174+60+5+77.8-7</m:t>
        </m:r>
      </m:oMath>
      <w:r w:rsidR="00D926DF" w:rsidRPr="00C04442">
        <w:t>=-</w:t>
      </w:r>
      <w:r w:rsidR="00D926DF">
        <w:t>38.2</w:t>
      </w:r>
      <w:r w:rsidR="00D926DF" w:rsidRPr="00C04442">
        <w:t>dBm/MHz</w:t>
      </w:r>
    </w:p>
    <w:p w14:paraId="23A25D84" w14:textId="22C6DB2E" w:rsidR="00D926DF" w:rsidRDefault="00D926DF" w:rsidP="00D547FA">
      <w:r>
        <w:t>This is a 10.8dB relaxation on the previously calculated 2GHz value.</w:t>
      </w:r>
    </w:p>
    <w:p w14:paraId="41D34263" w14:textId="65C199AD" w:rsidR="00D926DF" w:rsidRDefault="00D926DF" w:rsidP="00D547FA">
      <w:r>
        <w:t xml:space="preserve">Note the difference is because the ISD </w:t>
      </w:r>
      <w:r w:rsidR="00395020">
        <w:t>is</w:t>
      </w:r>
      <w:r>
        <w:t xml:space="preserve"> maintained due to the correlated AAS antenna gain but the uncorrelated unwanted emissions antenna gain is lower as its based on the element/sub-array.</w:t>
      </w:r>
    </w:p>
    <w:p w14:paraId="7B23AA77" w14:textId="04320E1D" w:rsidR="00D926DF" w:rsidRDefault="00D926DF" w:rsidP="00D926DF">
      <w:pPr>
        <w:pStyle w:val="3"/>
      </w:pPr>
      <w:r>
        <w:t>2.2.2</w:t>
      </w:r>
      <w:r w:rsidRPr="004D3578">
        <w:tab/>
      </w:r>
      <w:r>
        <w:t>DL (BS TX band)</w:t>
      </w:r>
    </w:p>
    <w:p w14:paraId="792AD469" w14:textId="127FCD0F" w:rsidR="00D926DF" w:rsidRDefault="00D926DF" w:rsidP="00D547FA">
      <w:r>
        <w:t xml:space="preserve">The down link calculation is simpler, as the medium range MCL requirement assumes 0dB antenna gain. As the MCL is based on the min distance a UE will be from the BS in the MR scenario (due to the environment the </w:t>
      </w:r>
      <w:r w:rsidR="0079026A">
        <w:t>antennas</w:t>
      </w:r>
      <w:r>
        <w:t xml:space="preserve"> are mounted) this will not c</w:t>
      </w:r>
      <w:r w:rsidR="0079026A">
        <w:t>hang</w:t>
      </w:r>
      <w:r>
        <w:t>e with frequency.</w:t>
      </w:r>
    </w:p>
    <w:p w14:paraId="1F192484" w14:textId="60735E1B" w:rsidR="00D926DF" w:rsidRDefault="00D926DF" w:rsidP="00D547FA">
      <w:r>
        <w:t xml:space="preserve">The FSPL at 5m for 2GHz is 53dB and for 5GHz is </w:t>
      </w:r>
      <w:r w:rsidR="0079026A">
        <w:t>60dB.</w:t>
      </w:r>
    </w:p>
    <w:p w14:paraId="2C89EB8D" w14:textId="0E32CC03" w:rsidR="00D926DF" w:rsidRDefault="00474C13" w:rsidP="00D926DF">
      <w:pPr>
        <w:ind w:left="1988" w:firstLine="284"/>
      </w:pPr>
      <m:oMath>
        <m:sSub>
          <m:sSubPr>
            <m:ctrlPr>
              <w:rPr>
                <w:rFonts w:ascii="Cambria Math" w:hAnsi="Cambria Math"/>
                <w:i/>
                <w:iCs/>
              </w:rPr>
            </m:ctrlPr>
          </m:sSubPr>
          <m:e>
            <m:r>
              <w:rPr>
                <w:rFonts w:ascii="Cambria Math" w:hAnsi="Cambria Math"/>
              </w:rPr>
              <m:t>P</m:t>
            </m:r>
          </m:e>
          <m:sub>
            <m:r>
              <w:rPr>
                <w:rFonts w:ascii="Cambria Math" w:hAnsi="Cambria Math"/>
              </w:rPr>
              <m:t>co-existence_DL</m:t>
            </m:r>
          </m:sub>
        </m:sSub>
        <m:r>
          <w:rPr>
            <w:rFonts w:ascii="Cambria Math" w:hAnsi="Cambria Math"/>
          </w:rPr>
          <m:t>=-174+60+9+60-0</m:t>
        </m:r>
      </m:oMath>
      <w:r w:rsidR="00D926DF" w:rsidRPr="00C04442">
        <w:t>=-</w:t>
      </w:r>
      <w:r w:rsidR="0079026A">
        <w:t>45</w:t>
      </w:r>
      <w:r w:rsidR="00D926DF" w:rsidRPr="00C04442">
        <w:t>dBm/MHz</w:t>
      </w:r>
    </w:p>
    <w:p w14:paraId="7E7FAF22" w14:textId="488043AE" w:rsidR="0079026A" w:rsidRDefault="0079026A" w:rsidP="0079026A">
      <w:r>
        <w:t>This is a 7dB relaxation on the 2GHz value.</w:t>
      </w:r>
    </w:p>
    <w:p w14:paraId="7BB14BFD" w14:textId="3FEAF561" w:rsidR="0079026A" w:rsidRDefault="0079026A" w:rsidP="0079026A">
      <w:r>
        <w:t>This simple analysis seems</w:t>
      </w:r>
      <w:r w:rsidR="00527875">
        <w:t xml:space="preserve"> </w:t>
      </w:r>
      <w:r>
        <w:t>to indicate that even without any frequency mismatch loss there is potentially room to relax the co-existence in same geographical area requirements</w:t>
      </w:r>
      <w:r w:rsidR="00527875">
        <w:t xml:space="preserve">. </w:t>
      </w:r>
    </w:p>
    <w:p w14:paraId="33D46354" w14:textId="7C9EE4DC" w:rsidR="00527875" w:rsidRDefault="00527875" w:rsidP="0079026A">
      <w:r w:rsidRPr="00527875">
        <w:rPr>
          <w:b/>
        </w:rPr>
        <w:t xml:space="preserve">Observation </w:t>
      </w:r>
      <w:r w:rsidR="008D22D6">
        <w:rPr>
          <w:b/>
        </w:rPr>
        <w:t>5</w:t>
      </w:r>
      <w:r w:rsidRPr="00527875">
        <w:rPr>
          <w:b/>
        </w:rPr>
        <w:t>:</w:t>
      </w:r>
      <w:r>
        <w:t xml:space="preserve"> Calculations indicate that with existing co-existence scenarios and conservative assumptions there is room to relax the same geographical area co-existence requirements at high FR1 frequencies.</w:t>
      </w:r>
    </w:p>
    <w:p w14:paraId="10A327B5" w14:textId="57B1579B" w:rsidR="0046266F" w:rsidRDefault="00C329FB" w:rsidP="0046266F">
      <w:pPr>
        <w:pStyle w:val="10"/>
        <w:rPr>
          <w:rFonts w:cs="Arial"/>
        </w:rPr>
      </w:pPr>
      <w:r>
        <w:rPr>
          <w:rFonts w:cs="Arial"/>
        </w:rPr>
        <w:t>3</w:t>
      </w:r>
      <w:r w:rsidR="0046266F">
        <w:rPr>
          <w:rFonts w:cs="Arial"/>
        </w:rPr>
        <w:t xml:space="preserve"> Summary</w:t>
      </w:r>
    </w:p>
    <w:p w14:paraId="113B9C8C" w14:textId="667B2AAB" w:rsidR="00447925" w:rsidRDefault="00F509F6" w:rsidP="00447925">
      <w:r>
        <w:t xml:space="preserve">In this </w:t>
      </w:r>
      <w:r w:rsidR="00527875">
        <w:t>paper we have reviewed our understand of the existing same geographical area co-existence requirements and how they were derived for bot non-AAS and AAS systems.</w:t>
      </w:r>
    </w:p>
    <w:p w14:paraId="1E20CFD2" w14:textId="0D1D623E" w:rsidR="00527875" w:rsidRDefault="00527875" w:rsidP="00447925">
      <w:r>
        <w:t>When considering the WF in answering the LS and updating the co-existence in same geographical area requirements for high FR1 bands we make the following observations:</w:t>
      </w:r>
    </w:p>
    <w:p w14:paraId="51D681E9" w14:textId="77777777" w:rsidR="008D22D6" w:rsidRDefault="008D22D6" w:rsidP="008D22D6">
      <w:r w:rsidRPr="00527875">
        <w:rPr>
          <w:b/>
        </w:rPr>
        <w:t>Observation 1:</w:t>
      </w:r>
      <w:r>
        <w:rPr>
          <w:b/>
        </w:rPr>
        <w:t xml:space="preserve"> </w:t>
      </w:r>
      <w:r>
        <w:t>co-location emissions are generally required in the same bands as the co-existence in same geographical area emission requirements and co-location are significantly harder the necessity of relaxing the co-existence requirements may not be so motivated.</w:t>
      </w:r>
    </w:p>
    <w:p w14:paraId="6C8F428E" w14:textId="7358FFC3" w:rsidR="00527875" w:rsidRDefault="00527875" w:rsidP="00527875">
      <w:r w:rsidRPr="00527875">
        <w:rPr>
          <w:b/>
        </w:rPr>
        <w:t xml:space="preserve">Observation </w:t>
      </w:r>
      <w:r w:rsidR="008D22D6">
        <w:rPr>
          <w:b/>
        </w:rPr>
        <w:t>2</w:t>
      </w:r>
      <w:r w:rsidRPr="00527875">
        <w:rPr>
          <w:b/>
        </w:rPr>
        <w:t>:</w:t>
      </w:r>
      <w:r>
        <w:t xml:space="preserve"> The existing co-existence in same geographical area definitions should be maintained otherwise we are defining a new requirement.</w:t>
      </w:r>
    </w:p>
    <w:p w14:paraId="3882486A" w14:textId="44B65B77" w:rsidR="00527875" w:rsidRDefault="00527875" w:rsidP="00527875">
      <w:r w:rsidRPr="0079026A">
        <w:rPr>
          <w:b/>
        </w:rPr>
        <w:t xml:space="preserve">Observation </w:t>
      </w:r>
      <w:r w:rsidR="008D22D6">
        <w:rPr>
          <w:b/>
        </w:rPr>
        <w:t>3</w:t>
      </w:r>
      <w:r w:rsidRPr="0079026A">
        <w:rPr>
          <w:b/>
        </w:rPr>
        <w:t>:</w:t>
      </w:r>
      <w:r>
        <w:t xml:space="preserve"> as the unwanted emissions are outside the operation band they will be uncorrelated and have no array gain</w:t>
      </w:r>
    </w:p>
    <w:p w14:paraId="7920D8E1" w14:textId="7E3D96AE" w:rsidR="00527875" w:rsidRDefault="00527875" w:rsidP="00527875">
      <w:r w:rsidRPr="0079026A">
        <w:rPr>
          <w:b/>
        </w:rPr>
        <w:t xml:space="preserve">Observation </w:t>
      </w:r>
      <w:r w:rsidR="008D22D6">
        <w:rPr>
          <w:b/>
        </w:rPr>
        <w:t>4</w:t>
      </w:r>
      <w:r w:rsidRPr="0079026A">
        <w:rPr>
          <w:b/>
        </w:rPr>
        <w:t>:</w:t>
      </w:r>
      <w:r>
        <w:t xml:space="preserve"> As the element/sub-array pattern is fixed no statistical simulation is necessary and MCL approach is more suitable.</w:t>
      </w:r>
    </w:p>
    <w:p w14:paraId="40ECFBC2" w14:textId="43E35092" w:rsidR="00527875" w:rsidRDefault="00527875" w:rsidP="00527875">
      <w:r w:rsidRPr="00527875">
        <w:rPr>
          <w:b/>
        </w:rPr>
        <w:t xml:space="preserve">Observation </w:t>
      </w:r>
      <w:r w:rsidR="008D22D6">
        <w:rPr>
          <w:b/>
        </w:rPr>
        <w:t>5</w:t>
      </w:r>
      <w:r w:rsidRPr="00527875">
        <w:rPr>
          <w:b/>
        </w:rPr>
        <w:t>:</w:t>
      </w:r>
      <w:r>
        <w:t xml:space="preserve"> Calculations indicate that with existing co-existence scenarios and conservative assumptions there is room to relax the same geographical area co-existence requirements at high FR1 frequencies.</w:t>
      </w:r>
    </w:p>
    <w:p w14:paraId="538F70F3" w14:textId="77777777" w:rsidR="00527875" w:rsidRDefault="00527875" w:rsidP="00527875"/>
    <w:p w14:paraId="5ED5509C" w14:textId="77777777" w:rsidR="00527875" w:rsidRPr="008E75EE" w:rsidRDefault="00527875" w:rsidP="00447925"/>
    <w:p w14:paraId="1F9F33B5" w14:textId="77777777" w:rsidR="00035E7D" w:rsidRPr="00883F32" w:rsidRDefault="00035E7D" w:rsidP="00035E7D">
      <w:pPr>
        <w:pStyle w:val="10"/>
        <w:ind w:left="0" w:firstLine="0"/>
        <w:rPr>
          <w:rFonts w:eastAsia="Arial" w:cs="Arial"/>
        </w:rPr>
      </w:pPr>
      <w:r w:rsidRPr="00883F32">
        <w:rPr>
          <w:rFonts w:cs="Arial"/>
        </w:rPr>
        <w:lastRenderedPageBreak/>
        <w:t>References</w:t>
      </w:r>
    </w:p>
    <w:p w14:paraId="73612F33" w14:textId="1AB96126" w:rsidR="00BA72A8" w:rsidRDefault="00865443" w:rsidP="00527875">
      <w:r>
        <w:t>[1]</w:t>
      </w:r>
      <w:r>
        <w:tab/>
      </w:r>
      <w:r w:rsidR="008D22D6">
        <w:t>TS 25.942</w:t>
      </w:r>
    </w:p>
    <w:sectPr w:rsidR="00BA72A8"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01240" w14:textId="77777777" w:rsidR="00474C13" w:rsidRDefault="00474C13">
      <w:r>
        <w:separator/>
      </w:r>
    </w:p>
  </w:endnote>
  <w:endnote w:type="continuationSeparator" w:id="0">
    <w:p w14:paraId="5362C4D1" w14:textId="77777777" w:rsidR="00474C13" w:rsidRDefault="0047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A6659" w:rsidRPr="00D12FFA" w:rsidRDefault="007A6659">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1BF46" w14:textId="77777777" w:rsidR="00474C13" w:rsidRDefault="00474C13">
      <w:r>
        <w:separator/>
      </w:r>
    </w:p>
  </w:footnote>
  <w:footnote w:type="continuationSeparator" w:id="0">
    <w:p w14:paraId="47357225" w14:textId="77777777" w:rsidR="00474C13" w:rsidRDefault="00474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3" w15:restartNumberingAfterBreak="0">
    <w:nsid w:val="011C305F"/>
    <w:multiLevelType w:val="hybridMultilevel"/>
    <w:tmpl w:val="C90C6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24" w15:restartNumberingAfterBreak="0">
    <w:nsid w:val="417F5AFC"/>
    <w:multiLevelType w:val="hybridMultilevel"/>
    <w:tmpl w:val="A3046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8"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D02406"/>
    <w:multiLevelType w:val="multilevel"/>
    <w:tmpl w:val="7E3A00C4"/>
    <w:lvl w:ilvl="0">
      <w:start w:val="2"/>
      <w:numFmt w:val="decimal"/>
      <w:lvlText w:val="%1"/>
      <w:lvlJc w:val="left"/>
      <w:pPr>
        <w:ind w:left="450" w:hanging="450"/>
      </w:pPr>
      <w:rPr>
        <w:rFonts w:hint="default"/>
      </w:rPr>
    </w:lvl>
    <w:lvl w:ilvl="1">
      <w:start w:val="4"/>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3225" w:hanging="180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800" w:hanging="2520"/>
      </w:pPr>
      <w:rPr>
        <w:rFonts w:hint="default"/>
      </w:rPr>
    </w:lvl>
  </w:abstractNum>
  <w:abstractNum w:abstractNumId="32" w15:restartNumberingAfterBreak="0">
    <w:nsid w:val="55932261"/>
    <w:multiLevelType w:val="multilevel"/>
    <w:tmpl w:val="C9BCD710"/>
    <w:lvl w:ilvl="0">
      <w:start w:val="1"/>
      <w:numFmt w:val="decimal"/>
      <w:lvlText w:val="%1."/>
      <w:lvlJc w:val="left"/>
      <w:pPr>
        <w:ind w:left="720" w:hanging="360"/>
      </w:pPr>
    </w:lvl>
    <w:lvl w:ilvl="1">
      <w:start w:val="3"/>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BF5250"/>
    <w:multiLevelType w:val="hybridMultilevel"/>
    <w:tmpl w:val="0C26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9" w15:restartNumberingAfterBreak="0">
    <w:nsid w:val="75AB74E4"/>
    <w:multiLevelType w:val="multilevel"/>
    <w:tmpl w:val="D33AFCA6"/>
    <w:lvl w:ilvl="0">
      <w:start w:val="1"/>
      <w:numFmt w:val="decimal"/>
      <w:lvlText w:val="%1."/>
      <w:lvlJc w:val="left"/>
      <w:pPr>
        <w:ind w:left="645" w:hanging="360"/>
      </w:pPr>
      <w:rPr>
        <w:rFonts w:hint="default"/>
      </w:rPr>
    </w:lvl>
    <w:lvl w:ilvl="1">
      <w:start w:val="2"/>
      <w:numFmt w:val="decimal"/>
      <w:isLgl/>
      <w:lvlText w:val="%1.%2"/>
      <w:lvlJc w:val="left"/>
      <w:pPr>
        <w:ind w:left="1418" w:hanging="1133"/>
      </w:pPr>
      <w:rPr>
        <w:rFonts w:hint="default"/>
      </w:rPr>
    </w:lvl>
    <w:lvl w:ilvl="2">
      <w:start w:val="1"/>
      <w:numFmt w:val="decimal"/>
      <w:isLgl/>
      <w:lvlText w:val="%1.%2.%3"/>
      <w:lvlJc w:val="left"/>
      <w:pPr>
        <w:ind w:left="1418" w:hanging="1133"/>
      </w:pPr>
      <w:rPr>
        <w:rFonts w:hint="default"/>
      </w:rPr>
    </w:lvl>
    <w:lvl w:ilvl="3">
      <w:start w:val="1"/>
      <w:numFmt w:val="decimal"/>
      <w:isLgl/>
      <w:lvlText w:val="%1.%2.%3.%4"/>
      <w:lvlJc w:val="left"/>
      <w:pPr>
        <w:ind w:left="1418" w:hanging="1133"/>
      </w:pPr>
      <w:rPr>
        <w:rFonts w:hint="default"/>
      </w:rPr>
    </w:lvl>
    <w:lvl w:ilvl="4">
      <w:start w:val="1"/>
      <w:numFmt w:val="decimal"/>
      <w:isLgl/>
      <w:lvlText w:val="%1.%2.%3.%4.%5"/>
      <w:lvlJc w:val="left"/>
      <w:pPr>
        <w:ind w:left="1418" w:hanging="1133"/>
      </w:pPr>
      <w:rPr>
        <w:rFonts w:hint="default"/>
      </w:rPr>
    </w:lvl>
    <w:lvl w:ilvl="5">
      <w:start w:val="1"/>
      <w:numFmt w:val="decimal"/>
      <w:isLgl/>
      <w:lvlText w:val="%1.%2.%3.%4.%5.%6"/>
      <w:lvlJc w:val="left"/>
      <w:pPr>
        <w:ind w:left="1418" w:hanging="1133"/>
      </w:pPr>
      <w:rPr>
        <w:rFonts w:hint="default"/>
      </w:rPr>
    </w:lvl>
    <w:lvl w:ilvl="6">
      <w:start w:val="1"/>
      <w:numFmt w:val="decimal"/>
      <w:isLgl/>
      <w:lvlText w:val="%1.%2.%3.%4.%5.%6.%7"/>
      <w:lvlJc w:val="left"/>
      <w:pPr>
        <w:ind w:left="1418" w:hanging="1133"/>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40"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41"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5"/>
  </w:num>
  <w:num w:numId="3">
    <w:abstractNumId w:val="38"/>
  </w:num>
  <w:num w:numId="4">
    <w:abstractNumId w:val="37"/>
  </w:num>
  <w:num w:numId="5">
    <w:abstractNumId w:val="19"/>
  </w:num>
  <w:num w:numId="6">
    <w:abstractNumId w:val="30"/>
  </w:num>
  <w:num w:numId="7">
    <w:abstractNumId w:val="44"/>
  </w:num>
  <w:num w:numId="8">
    <w:abstractNumId w:val="16"/>
  </w:num>
  <w:num w:numId="9">
    <w:abstractNumId w:val="15"/>
  </w:num>
  <w:num w:numId="10">
    <w:abstractNumId w:val="33"/>
  </w:num>
  <w:num w:numId="11">
    <w:abstractNumId w:val="21"/>
  </w:num>
  <w:num w:numId="12">
    <w:abstractNumId w:val="10"/>
  </w:num>
  <w:num w:numId="13">
    <w:abstractNumId w:val="42"/>
  </w:num>
  <w:num w:numId="14">
    <w:abstractNumId w:val="8"/>
  </w:num>
  <w:num w:numId="15">
    <w:abstractNumId w:val="29"/>
  </w:num>
  <w:num w:numId="16">
    <w:abstractNumId w:val="26"/>
  </w:num>
  <w:num w:numId="17">
    <w:abstractNumId w:val="20"/>
  </w:num>
  <w:num w:numId="18">
    <w:abstractNumId w:val="4"/>
  </w:num>
  <w:num w:numId="19">
    <w:abstractNumId w:val="7"/>
  </w:num>
  <w:num w:numId="20">
    <w:abstractNumId w:val="13"/>
  </w:num>
  <w:num w:numId="21">
    <w:abstractNumId w:val="5"/>
  </w:num>
  <w:num w:numId="22">
    <w:abstractNumId w:val="11"/>
  </w:num>
  <w:num w:numId="23">
    <w:abstractNumId w:val="18"/>
  </w:num>
  <w:num w:numId="24">
    <w:abstractNumId w:val="41"/>
  </w:num>
  <w:num w:numId="25">
    <w:abstractNumId w:val="12"/>
  </w:num>
  <w:num w:numId="26">
    <w:abstractNumId w:val="6"/>
  </w:num>
  <w:num w:numId="27">
    <w:abstractNumId w:val="2"/>
  </w:num>
  <w:num w:numId="28">
    <w:abstractNumId w:val="9"/>
  </w:num>
  <w:num w:numId="29">
    <w:abstractNumId w:val="40"/>
  </w:num>
  <w:num w:numId="30">
    <w:abstractNumId w:val="43"/>
  </w:num>
  <w:num w:numId="31">
    <w:abstractNumId w:val="27"/>
  </w:num>
  <w:num w:numId="32">
    <w:abstractNumId w:val="17"/>
  </w:num>
  <w:num w:numId="33">
    <w:abstractNumId w:val="36"/>
  </w:num>
  <w:num w:numId="34">
    <w:abstractNumId w:val="34"/>
  </w:num>
  <w:num w:numId="35">
    <w:abstractNumId w:val="28"/>
  </w:num>
  <w:num w:numId="36">
    <w:abstractNumId w:val="32"/>
  </w:num>
  <w:num w:numId="37">
    <w:abstractNumId w:val="14"/>
  </w:num>
  <w:num w:numId="38">
    <w:abstractNumId w:val="35"/>
  </w:num>
  <w:num w:numId="39">
    <w:abstractNumId w:val="1"/>
  </w:num>
  <w:num w:numId="40">
    <w:abstractNumId w:val="0"/>
  </w:num>
  <w:num w:numId="41">
    <w:abstractNumId w:val="23"/>
  </w:num>
  <w:num w:numId="42">
    <w:abstractNumId w:val="39"/>
  </w:num>
  <w:num w:numId="43">
    <w:abstractNumId w:val="3"/>
  </w:num>
  <w:num w:numId="44">
    <w:abstractNumId w:val="31"/>
  </w:num>
  <w:num w:numId="4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939"/>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60F"/>
    <w:rsid w:val="0002475A"/>
    <w:rsid w:val="00024B66"/>
    <w:rsid w:val="000256A1"/>
    <w:rsid w:val="0002650B"/>
    <w:rsid w:val="00026904"/>
    <w:rsid w:val="00026A59"/>
    <w:rsid w:val="00026F5D"/>
    <w:rsid w:val="0002723D"/>
    <w:rsid w:val="0003010B"/>
    <w:rsid w:val="00031165"/>
    <w:rsid w:val="00031339"/>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4D9"/>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0E62"/>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15"/>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250"/>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322"/>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67F6A"/>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2A0"/>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BE5"/>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8B1"/>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341"/>
    <w:rsid w:val="001E74A4"/>
    <w:rsid w:val="001F00E3"/>
    <w:rsid w:val="001F013E"/>
    <w:rsid w:val="001F09BA"/>
    <w:rsid w:val="001F0A1B"/>
    <w:rsid w:val="001F0B52"/>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374A"/>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6A0"/>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4A43"/>
    <w:rsid w:val="00265593"/>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282"/>
    <w:rsid w:val="00275409"/>
    <w:rsid w:val="002758A8"/>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1E74"/>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8A7"/>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67B"/>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20"/>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2ED"/>
    <w:rsid w:val="003B7022"/>
    <w:rsid w:val="003B7116"/>
    <w:rsid w:val="003B7B6A"/>
    <w:rsid w:val="003B7D4B"/>
    <w:rsid w:val="003C0DDE"/>
    <w:rsid w:val="003C0EC4"/>
    <w:rsid w:val="003C0F07"/>
    <w:rsid w:val="003C1802"/>
    <w:rsid w:val="003C1B28"/>
    <w:rsid w:val="003C208B"/>
    <w:rsid w:val="003C2545"/>
    <w:rsid w:val="003C2A27"/>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BC"/>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6AD"/>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47925"/>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4C13"/>
    <w:rsid w:val="0047518D"/>
    <w:rsid w:val="004759A8"/>
    <w:rsid w:val="00475C5A"/>
    <w:rsid w:val="00475E71"/>
    <w:rsid w:val="0047626A"/>
    <w:rsid w:val="0047656F"/>
    <w:rsid w:val="004772AA"/>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923"/>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875"/>
    <w:rsid w:val="00527E79"/>
    <w:rsid w:val="00530694"/>
    <w:rsid w:val="00530791"/>
    <w:rsid w:val="0053153E"/>
    <w:rsid w:val="00531682"/>
    <w:rsid w:val="005316A6"/>
    <w:rsid w:val="005316F1"/>
    <w:rsid w:val="00531B61"/>
    <w:rsid w:val="0053269F"/>
    <w:rsid w:val="00532B86"/>
    <w:rsid w:val="00532D5E"/>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8D"/>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23A"/>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494B"/>
    <w:rsid w:val="006851CC"/>
    <w:rsid w:val="00685CF7"/>
    <w:rsid w:val="00685D13"/>
    <w:rsid w:val="00685D32"/>
    <w:rsid w:val="00686188"/>
    <w:rsid w:val="006868BC"/>
    <w:rsid w:val="006876C7"/>
    <w:rsid w:val="006878F3"/>
    <w:rsid w:val="00687DEB"/>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7F4"/>
    <w:rsid w:val="006B29E3"/>
    <w:rsid w:val="006B2AF3"/>
    <w:rsid w:val="006B2AFF"/>
    <w:rsid w:val="006B3022"/>
    <w:rsid w:val="006B3348"/>
    <w:rsid w:val="006B35C6"/>
    <w:rsid w:val="006B3728"/>
    <w:rsid w:val="006B3A40"/>
    <w:rsid w:val="006B3A53"/>
    <w:rsid w:val="006B3E59"/>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3BD"/>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D88"/>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3B82"/>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0"/>
    <w:rsid w:val="00737C39"/>
    <w:rsid w:val="00737D95"/>
    <w:rsid w:val="00740422"/>
    <w:rsid w:val="00740A38"/>
    <w:rsid w:val="00742279"/>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AFA"/>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26A"/>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659"/>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6F2"/>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090"/>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19"/>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972"/>
    <w:rsid w:val="00885C25"/>
    <w:rsid w:val="008860C8"/>
    <w:rsid w:val="008863CE"/>
    <w:rsid w:val="0088648A"/>
    <w:rsid w:val="00886860"/>
    <w:rsid w:val="00886ED0"/>
    <w:rsid w:val="00887C45"/>
    <w:rsid w:val="0089028B"/>
    <w:rsid w:val="00890356"/>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2D6"/>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26"/>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AA6"/>
    <w:rsid w:val="00936DC3"/>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6FD7"/>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0C"/>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CDD"/>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5B6"/>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50"/>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6A3"/>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A36"/>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4F0E"/>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1C5C"/>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228"/>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0A5F"/>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C0C"/>
    <w:rsid w:val="00BF7FE9"/>
    <w:rsid w:val="00C00059"/>
    <w:rsid w:val="00C0008A"/>
    <w:rsid w:val="00C0165F"/>
    <w:rsid w:val="00C02611"/>
    <w:rsid w:val="00C02E37"/>
    <w:rsid w:val="00C02FE4"/>
    <w:rsid w:val="00C03BA1"/>
    <w:rsid w:val="00C03D11"/>
    <w:rsid w:val="00C0443F"/>
    <w:rsid w:val="00C04442"/>
    <w:rsid w:val="00C04B37"/>
    <w:rsid w:val="00C052D0"/>
    <w:rsid w:val="00C0569D"/>
    <w:rsid w:val="00C058F0"/>
    <w:rsid w:val="00C05B24"/>
    <w:rsid w:val="00C05F0D"/>
    <w:rsid w:val="00C06DF4"/>
    <w:rsid w:val="00C07A01"/>
    <w:rsid w:val="00C07A1B"/>
    <w:rsid w:val="00C07DD6"/>
    <w:rsid w:val="00C103A5"/>
    <w:rsid w:val="00C106F5"/>
    <w:rsid w:val="00C10BB2"/>
    <w:rsid w:val="00C10D94"/>
    <w:rsid w:val="00C11173"/>
    <w:rsid w:val="00C1169C"/>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1E2D"/>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9FB"/>
    <w:rsid w:val="00C32C20"/>
    <w:rsid w:val="00C32FE0"/>
    <w:rsid w:val="00C32FFE"/>
    <w:rsid w:val="00C334FF"/>
    <w:rsid w:val="00C337FE"/>
    <w:rsid w:val="00C33EA2"/>
    <w:rsid w:val="00C3471C"/>
    <w:rsid w:val="00C34C17"/>
    <w:rsid w:val="00C358D9"/>
    <w:rsid w:val="00C35942"/>
    <w:rsid w:val="00C35AC5"/>
    <w:rsid w:val="00C366D0"/>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D4B"/>
    <w:rsid w:val="00C45F43"/>
    <w:rsid w:val="00C46504"/>
    <w:rsid w:val="00C46D24"/>
    <w:rsid w:val="00C46F68"/>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773"/>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981"/>
    <w:rsid w:val="00CA1A0A"/>
    <w:rsid w:val="00CA1A4B"/>
    <w:rsid w:val="00CA1B52"/>
    <w:rsid w:val="00CA2C40"/>
    <w:rsid w:val="00CA2C91"/>
    <w:rsid w:val="00CA2CB8"/>
    <w:rsid w:val="00CA2CDD"/>
    <w:rsid w:val="00CA2E21"/>
    <w:rsid w:val="00CA2EC3"/>
    <w:rsid w:val="00CA39C1"/>
    <w:rsid w:val="00CA3CF7"/>
    <w:rsid w:val="00CA44DE"/>
    <w:rsid w:val="00CA4807"/>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71E"/>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25EA"/>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76"/>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7FA"/>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783"/>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26DF"/>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1AD3"/>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0F4"/>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A64"/>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5EF"/>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B7FBB"/>
    <w:rsid w:val="00EC0011"/>
    <w:rsid w:val="00EC07E1"/>
    <w:rsid w:val="00EC1AAF"/>
    <w:rsid w:val="00EC1F5A"/>
    <w:rsid w:val="00EC21BB"/>
    <w:rsid w:val="00EC267B"/>
    <w:rsid w:val="00EC28D1"/>
    <w:rsid w:val="00EC363B"/>
    <w:rsid w:val="00EC3F40"/>
    <w:rsid w:val="00EC3FEB"/>
    <w:rsid w:val="00EC444E"/>
    <w:rsid w:val="00EC488F"/>
    <w:rsid w:val="00EC5A78"/>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E7C21"/>
    <w:rsid w:val="00EF0454"/>
    <w:rsid w:val="00EF20F9"/>
    <w:rsid w:val="00EF2999"/>
    <w:rsid w:val="00EF2B02"/>
    <w:rsid w:val="00EF306C"/>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024B"/>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9F6"/>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420"/>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15D"/>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2376377">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151687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266672">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8341639">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377140">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555674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490243563">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0210854">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45951552">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48245">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3335004">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AD1C-1106-4D9E-B455-1A973D9D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375</TotalTime>
  <Pages>1</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13</cp:revision>
  <cp:lastPrinted>2010-01-07T02:23:00Z</cp:lastPrinted>
  <dcterms:created xsi:type="dcterms:W3CDTF">2025-03-26T09:19:00Z</dcterms:created>
  <dcterms:modified xsi:type="dcterms:W3CDTF">2025-03-28T13:33:00Z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1742816767</vt:lpwstr>
  </property>
</Properties>
</file>